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2008/155 vom 24. März 2009</w:t>
      </w:r>
    </w:p>
    <w:p>
      <w:r>
        <w:t>Sg Versicherungsgericht, 2009-03-24, DE</w:t>
      </w:r>
    </w:p>
    <w:p>
      <w:r>
        <w:rPr>
          <w:b/>
        </w:rPr>
        <w:t xml:space="preserve">Quelle: </w:t>
      </w:r>
      <w:r>
        <w:t>https://mcp.opencaselaw.ch/entscheid/sg_publikationen_IV 2008_155</w:t>
      </w:r>
    </w:p>
    <w:p>
      <w:r>
        <w:t>FR: SG_VERSICHERUNGSGERICHT IV 2008/155 du 24 mars 2009</w:t>
      </w:r>
    </w:p>
    <w:p>
      <w:r>
        <w:t>IT: SG_VERSICHERUNGSGERICHT IV 2008/155 del 24 marzo 2009</w:t>
      </w:r>
    </w:p>
    <w:p>
      <w:pPr>
        <w:pStyle w:val="Heading2"/>
      </w:pPr>
      <w:r>
        <w:t>Regeste</w:t>
      </w:r>
    </w:p>
    <w:p>
      <w:r>
        <w:t>Art. 17 Abs. 1 ATSG. Erhebliche Verbesserung des Gesundheitszustands als Voraussetzung zur Vornahme einer revisionsweisen Renteneinstellung. Eine solche Verbesserung wurde vorliegend nicht mit überwiegender Wahrscheinlichkeit bewiesen.Das Vorgehen der IV-Stelle, im Rahmen der Beschwerdeantwort eigenmächtig Rückfragen an die medizinischen Gutachter stellen, ist aus verfahrensrechtlicher Sicht problematisch. Erachtet die IV-Stelle weitere Abklärungen für notwendig, hätte sie die Gutheissung der Beschwerde und die Rückweisung an sie zu beantragen oder zumindest dem Gericht Anträge auf Beweiserhebungen zu stellen. Sie selbst hat nicht mehr die Hoheit über das Beweisverfahren (Entscheid des Versicherungsgerichts des Kantons St. Gallen vom 24. März 2009, IV 2008/155).</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 Eine bloss unterschiedliche Beurteilung eines im Wesentlichen gleich gebliebenen Sachverhaltes stellt dagegen praxisgemäss keine revisionsbegründende Änderung dar (BGE 112 V 372 Erw. 2b). Ob eine revisionsbegründende Änderung eingetreten ist, beurteilt sich durch Vergleich des Sachverhalts, wie er im Zeitpunkt der letzten (der versicherten Person eröffneten) rechtskräftigen Verfügung bestand, die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Erw. 2). 1.2  Vorliegend erfolgte die ursprüngliche Rentenzusprache am 17. Juni 2004 rückwirkend auf den 1. September 2003. Nach dieser Zusprache wurde im März 2006 erstmals ein Rentenrevisionsverfahren eingeleitet; die angefochtene Verfügung vom 19. Februar 2008 sollte dieses Verfahren beenden. Die Frage nach einer revisionsrelevanten Veränderung des Sachverhalts ist also unter Vergleich der Situation vom Sommer 2004 mit jenem per Februar 2008 zu beantworten.</w:t>
      </w:r>
    </w:p>
    <w:p>
      <w:r>
        <w:rPr>
          <w:b/>
        </w:rPr>
        <w:t>E. 2</w:t>
      </w:r>
    </w:p>
    <w:p>
      <w:r>
        <w:t>2.1  Der Beschwerdeführer wurde am 12. Dezember 2000 bei der Arbeit von einem Stapelfahrer von hinten angefahren und erlitt eine Traumatisierung der Lendenwirbelsäule (LWS). Eine Computertomographie vom 14. Dezember 2000 ergab eine Discopathie L5/S1 mit breiter, leicht linkslateral betonter Protrusion. Diskushernien oder Kompressionen der neuralen Strukturen wurden gemäss Bericht des Röntgeninstituts D.___ vom 15. Dezember 2000 nicht gefunden (IV-act. 110-31). 2.2  Dr. med. E.___, Facharzt FMH für Physikalische Medizin und Rehabilitation sowie Rheumatologie, begutachtete den Beschwerdeführer am 21. Mai 2001 im Auftrag der IV-Stelle. Zu jenem Zeitpunkt standen offenbar die Schulterbeschwerden links im Zentrum. Eine volle Arbeitsfähigkeit attestierte Dr. E.___ nur unter der Bedingung, dass die Schulter unterhalb der Horizontalen eingesetzt werde, die Tätigkeit körperlich leicht sei, repetitives Heben und Bücken vermeidet werde und Wechselpositionen eingenommen würden (IV-act. 140-5). Wegen einer Exazerbation der lumbalen Schmerzen erfolgte eine stationäre Rehabilitation in der Klinik Valens vom 6. bis 18. Januar 2003. Bei Austritt wurde für leichte bis mittelschwere Tätigkeiten eine Arbeitsfähigkeit von 50% bestätigt, wobei der Versuch einer Steigerung nach zwei Wochen empfohlen wurde (IV-act. 110-32). Bereits seit 26. Sep­tember 2002 war der Beschwerdeführer von Dr. A.___ in der angestammten Tätigkeit voll arbeitsunfähig geschrieben (IV-act. 110-3). 2.3  Die AEH-Begutachtung fand im Juni 2003 statt. In Bezug auf die somatische Situation wurde festgehalten, obschon eine kleine mediolaterale Diskushernie links mit möglicher Nervenwurzelkompression L5 links bestehe, habe sich inzwischen eine Symptomausweitung mit den typischen Zeichen einer Somatisierungstendenz ergeben ohne Hinweise auf eine spezifische Problematik, insbesondere ohne Hinweise auf eine radikuläre Problematik. Der Beschwerdeführer könne kaum Strategien einsetzen, um mit seinen Symptomen "zu verhandeln" und konstruktiv mit ihnen umzugehen. In den Tests hätten die körperlich sicheren Belastungslimiten nicht erreicht werden können, obwohl der Beschwerdeführer guten Willen gezeigt habe und zu einem gewissen Grad bereit gewesen sei, sich in den Schmerz hinein belasten zu lassen. Die Beobachtungen bei den Tests hätten auf eine deutliche Selbstlimitierung gewiesen. Aufgrund des Schmerzverhaltens sei äusserst fraglich, dass die Belastbarkeit im leichten bis mittelschweren Gewichtsbereich in einer beruflichen Tätigkeit umgesetzt werden könne, weshalb eine weitergehende Abklärung bei Dr. B.___ erfolgen sollte (IV-act. 86-3 f.). Dieser attestierte schliesslich eine Arbeitsunfähigkeit von 70-80% im Rahmen einer objektivierbaren, arbeitsrelevanten, sicher mittelschweren depressiven psychopathologischen Alteration im Sinn einer chronifizierenden gemischten Anpassungsstörung mit Störung der Gefühle und des Sozialverhaltens (F43.25). Der Krankheitswert sei ausgewiesen. Der Beschwerdeführer sei beim klinischen Untersuchungsgang kooperativ und bei der neurokognitiven Untersuchung leistungsbemüht gewesen. Die Auskunftsbereitschaft beurteilte Dr. B.___ als adäquat. Ein affektiv-interpersoneller Rapport sei herstellbar gewesen. Klinisch fand er keine Hinweise für Simulation im Sinn einer primären, intentionalen Rentenbegehrlichkeit und für forcierte Aggravation. Die Art der subjektiven Beschwerdezeichnung entspreche der Psychodynamik des Krankheitsgeschehens, der einfachen Persönlichkeitsstruktur und dem soziokulturellen, ethnologischen Hintergrund mit aktuell sekundären psychosozialen Stressoren. Aus psychiatrischer Sicht im Vordergrund stünden typische depressive Stigmata mit schneller Erschöpfung, Müdigkeit und Energielosigkeit, Nervosität und Anspannung mit hoher innerpsychischer Spannung, erniedrigte Frustrationstoleranz mit nachfolgend innerfamiliären Friktionen, interaktionelle Reizbarkeit, sozialer Rückzug, vermehrte Ängstlichkeit, Lärmempfindlichkeit, Kopfschmerzen und Schlafstörungen, allgemeine Kraftlosigkeit, Minderwertigkeits- und Schuldgefühle. Dieses subjektive Beschwerdebild wirke insgesamt angemessen und glaubhaft. Dr. B.___ erlebte den Beschwerdeführer als im Affekt nur wenig verlangsamt. Das Denken sei inhaltlich und formal unauffällig, Affekt und Stimmung seien erheblich pessimistisch, negativ und nihilistisch gedrückt, die Modulationsfähigkeit sei leicht eingeschränkt. Es sei zu affektiven Durchbrüchen mit Weinen gekommen. Zu seiner Arbeitsfähigkeitsschätzung gelangte Dr. B.___ unter explizitem Ausschluss IV-fremder Faktoren und unter Bezugnahme insbesondere auf Psychopathologie, neurokognitives Restleistungspotential, sozial-interaktionelles Verhalten, Psychodynamik der Störung, Krankheitseinsicht und Zumutbarkeit von Krankheitsbewältigungsstrategien. Die Frage nach der "Zumutbarkeit der Willensanspannung" könne im Rahmen der vorhandenen innerpsychischen und kognitiv-emotionalen krankheitsbedingten Absorption als vorläufig nicht gegeben bezeichnet werden (IV-act. 86-15 ff.). 2.4  Die auch vom psychiatrischen ABI-Teilgutachter Dr. med. F.___ erkannte rezidivierende depressive Störung hatte seiner Ansicht nach im Zeitpunkt der ABI-Begutachtung am 29. Mai 2007 nur noch die Ausprägung einer leichten Episode. Die Stimmung des Beschwerdeführers erlebte Dr. F.___ als bedrückt, leicht depressiv. Der Beschwerdeführer ziehe sich zurück, meide den Kontakt zu seinen Verwandten und halte sich vor allem im Rahmen seiner Familie auf. Die Beziehung zur Ehefrau und seinen beiden Söhnen sei nach wie vor sehr gut. Im sexuellen Bereich bestünden nur geringe Schwierigkeiten. Regelmässig unternehme er mit der Ehefrau und den Söhnen Spaziergänge. Aufgrund der langanhaltenden psychosozialen und emotionalen Belastungssituation könne die Diagnose der anhaltenden somatoformen Schmerzstörung gestellt werden. Insgesamt beobachtete Dr. F.___ ein ausgeprägtes demonstratives, histrionisches Verhalten, das im Rahmen der anhaltenden somatoformen Schmerzstörung gesehen werden könne. Hinweise für eine schwere depressive Störung würden fehlen. Der Beschwerdeführer leide nicht unter Konzentrationsstörungen, Antriebsstörungen. Suizidalität sei nicht vorhanden. Aus psychiatrischer Sicht könne es dem Beschwerdeführer zugemutet werden, trotz der geklagten Beschwerden die nötige Willensanstrengung aufzubringen, um ganztags einer beruflichen Tätigkeit nachzugehen, wobei die Leistungsfähigkeit um 20% vermindert sei (IV-act. 21-9 ff.). 2.5  Dr. B.___ Gutachten enthält keine Angaben zum Tagesablauf und zum gewöhnlichen Lebensvollzug des Beschwerdeführers. Die von ihm erhobenen Befunde sind mangels Veranschaulichung nicht detailliert nachvollziehbar. Insofern ist verständlich, dass Dr. F.___ Mühe bekundete, die Befunde von Dr. B.___ zu kommentieren. Dennoch erachtete sich Dr. F.___ in der Lage, eine Verbesserung des Gesundheitszustands des Beschwerdeführers zu attestieren. Er habe nur eine leichte depressive Verstimmung feststellen können. Diese könne wegen mangelnder Compliance des Beschwerdeführers nicht adäquat behandelt werden (IV-act. 21-14). Die Ausführungen im ABI-Gutachten vermögen eine effektive Verbesserung des Gesundheitszustands jedoch nicht mit überwiegender Wahrscheinlichkeit auszuweisen. Zwar ist durchaus denkbar, dass der Beschwerdeführer etwa durch Angewöhnung einen besseren Umgang mit seinen Schmerzen erlernt hat. Eine eigentliche Abnahme der Schmerzen erlebte er subjektiv allerdings nicht. Keine Hinweise gibt es zudem dafür, dass er seit der Begutachtung durch Dr. B.___ Strategien entwickelt hätte, die eine ausreichende Schmerzüberwindung ermöglichen würden. Wenn nun Dr. F.___ die Willensanstrengung zur Schmerzüberwindung als zumutbar betrachtet, so scheint es sich dabei um eine abweichende Einschätzung eines im Wesentlichen gleich gebliebenen Sachverhalts zu handeln. Dies wurde in der Stellungnahme des ABI zuhanden der Beschwerdegegnerin vom 5. Juni 2008 denn auch explizit bestätigt (act. G 6.2). Dass Dr. F.___ grundsätzlich an der Zuverlässigkeit der Einschätzung von Dr. B.___ zweifelte, ergibt sich auch aus seiner Erwähnung, ihm sei aufgefallen, dass der Beschwerdeführer während des Aufenthalts in der Klinik Valens im Januar 2003 psychiatrisch nicht auffällig gewesen sei, wenige Monate später dann durch Dr. B.___ psychiatrisch begutachtet worden sei und dieser eine Arbeitsunfähigkeit von 70% attestiert habe. Dr. B.___ habe eine chronifizierte gemischte Anpassungsstörung mit Störung der Gefühle und des Sozialverhaltens diagnostiziert. Diese Diagnose könne streng genommen gar nicht gestellt werden, da sie höchstens drei Monate nach einem auslösenden Ereignis, hier der Unfall 2001, gestellt werden könne (IV-act. 21-13). Dr. F.___ hatte also offensichtlich Zweifel an der Angemessenheit der seinerzeitigen Einschätzung durch Dr. B.___. 2.6  Aus juristischer Sicht kann es nicht darauf ankommen, ob die ABI-Beurteilung für plausibler gehalten wird als die Einschätzung des AEH, zumal keine erstmalige Rentenzusprache zur Diskussion steht, sondern eine Rentenrevision. Die ganze Rente wurde im Juni 2004 rechtskräftig verfügt. Voraussetzung der revisionsweisen Renteneinstellung ist eine erhebliche Verbesserung des Gesundheitszustands. Der Beschwerdegegnerin gelingt es nicht, eine solche mit dem Beweisgrad der überwiegenden Wahrscheinlichkeit zu belegen. Möglicherweise würde eine Verlaufsbegutachtung durch das AEH und insbesondere durch Dr. B.___ mit intensiver Auseinandersetzung mit dem gesundheitlichen Verlauf beim Beschwerdeführer eine Veränderung objektivieren. Im vorliegenden Verfahren ist dies jedoch nicht gelungen, sodass die Vornahme einer Rentenrevision nicht in Frage kommt und es bis auf weiteres bei der ganzen Rente sein Bewenden hat. Eine Wiedererwägung der ursprünglichen rentenzusprechenden Verfügung vom 17. Juni 2004 hat die Beschwerdegegnerin zu Recht nicht vorgenommen. Immerhin attestierte Dr. C.___ am 18. Juni 2008 – wenn auch unter Nennung nur teilweise übereinstimmender Diagnosen – noch immer eine Arbeitsunfähigkeit von 70%. Wenngleich er nur für die Zeit nach Erlass der angefochtenen Verfügung sprechen konnte, verwies er doch auf eine unterdessen chronische Erkrankung bei fast unveränderter Symptomatik. Die aus unbewussten psychischen Gründen entstandene Schmerzerkrankung sei derart intensiv, dass sie zu einer faktischen Invalidität geführt habe. Die psychopathologischen Phänomene würden sich im Unbewussten abspielen und nicht der Willenskontrolle des Beschwerdeführers unterstehen (act. G 7.1). Auch dieser Bericht weist darauf hin, dass die Arbeitsfähigkeitsschätzung und die Beurteilung der Zumutbarkeit der Willensanstrengung zur Schmerzüberwindung durch Dr. B.___ zumindest nicht zweifellos unrichtig waren. 2.7  Wenn dies vorliegend auch nicht entscheidwesentlich ist, so sei am Rand doch erwähnt, dass das ABI-Gutachten auch unabhängig von der Frage nach einer Verbesserung des Gesundheitszustands gewisse Zweifel offen lässt. Auffällig ist, der rheumatologische ABI-Teilgutachter es nicht für nötig erachtete, vom anerkanntermassen geschädigten Rücken des Beschwerdeführers MRI-Aufnahmen anfertigen zu lassen. Die letzte aktenkundige MRI-Bildgebung stammte aus dem Jahr 2003 und zeigte immerhin Diskusveränderungen auf der Höhe L4/5 und L5/S1, eine Diskushernie L5/S2 und eine mögliche Wurzelkompression L5 intraforaminal sowie eine Diskusprotrusion L4/5 und eine Osteochondrose L5/S1 (vgl. IV-act. 62-8). Die dem ABI-Gutachter zur Verfügung gestandenen Röntgenaufnahmen von 2007 vermögen über Diskushernien und Wurzelkompressionen keine zuverlässigen Aufschlüsse zu geben. Da der Beschwerdeführer selbst die Rückenschmerzen als im Vordergrund stehend erlebt, wären diesbezüglich besonders sorgfältige Abklärungen angezeigt gewesen. In Bezug auf die Schmerzmitteleinnahme erachtete das ABI es im Übrigen offenbar als massgebend, dass der Beschwerdeführer gemäss Blutserumkontrolle keine Antidepressiva einnehme. Daraus schloss das ABI, dass er selbst sich somit nicht als besonders depressiv einschätze. Dieses Gericht hat wiederholt darauf hingewiesen, dass die Blutserumkontrolle nach medizinischer Kenntnis offenbar nicht einmal zuverlässig auf die Einnahme von Antidepressiva schliessen lässt (vgl. etwa den im Internet veröffentlichten Entscheid IV 2006/295 vom 8. Mai 2008, Erw. 4.2.3). Auch das Bundesgericht anerkennt immerhin, dass unterschiedliche Resorption, raschere Verstoffwechselung oder Non-Responder-Einflüsse die Aussagekraft einer einmaligen Blutuntersuchung herabsetzen können (Entscheid 8C_474/2008 vom 4. Dezember 2008, Erw. 6). Es ist gerichtsnotorisch, dass in ABI-Gutachten häufig eine nicht näher begründete Arbeitsunfähigkeit von 20% attestiert wird, wobei jeweils im Dunkeln bleibt, weshalb die Einschränkung gerade 20% betragen soll und ob und wenn ja, in welcher Form und Quantität bei dieser Einschätzung die dem Versicherten unterstellte Nichteinnahme von Antidepressiva berücksichtigt wird. Diese nicht hinreichend nachvollziehbare Einschätzung stellt auch vorliegend einen nicht unerheblichen Mangel am ABI-Gutachten dar. Dies umso mehr, als der behandelnde Hausarzt Dr. A.___ im Lauf seiner Behandlungsdauer getestet hat, ob es dem Versicherten mit oder ohne Psychopharmaka besser gehe. Zwar sprach er sich aufgrund dieses Vergleichs im Schreiben vom 30. April 2007 für die Einnahme von Psychopharmaka aus, hielt aber zugleich fest, dass die Unterschiede marginal seien (IV-act. 22). Da die Psychopharmaka vorliegend also offenbar weitgehend wirkungslos bleiben, erscheinen die – ohnehin im Ergebnis unklaren – Schlussfolgerungen des ABI diesbezüglich kaum brauchbar.</w:t>
      </w:r>
    </w:p>
    <w:p>
      <w:r>
        <w:rPr>
          <w:b/>
        </w:rPr>
        <w:t>E. 3</w:t>
      </w:r>
    </w:p>
    <w:p>
      <w:r>
        <w:t>3.1  Bei diesem Verfahrensausgang braucht auf den Antrag des Beschwerdeführers, das ABI-Gutachten vom 7. August 2007 und die von der Beschwerdegegnerin im Rahmen des Beschwerdeverfahrens beim ABI eingeholte Stellungnahme vom 5. Juni 2008 seien aus dem Recht zu weisen, nicht abschliessend beurteilt zu werden. In grundsätzlicher Hinsicht sind jedoch einige Bemerkungen hierzu angezeigt. Auf den ersten Blick erscheint ein Bedürfnis der Verwaltung, unbürokratisch gewisse ergänzende Auskünfte einzuholen, zwar als nachvollziehbar. Aus juristischer Perspektive ist ein solches Vorgehen aber problematisch. Kommt die Verwaltung zum Schluss, weitere Abklärungen bei den Gutachtern oder in anderer Form seien notwendig, so anerkennt sie, ihrer Untersuchungspflicht nicht hinreichend nachgekommen zu sein. Die Praxis pflegt in solchen Fällen, die Verfügung pendente lite zu widerrufen und das Verwaltungsverfahren wieder aufzunehmen. Tätigt die Verwaltung alsdann eine Rückfrage wie die hier vorgenommene, so hätte sie die versicherte Person ins Verfahren miteinzubeziehen und ihr die beabsichtigten Rückfragen vorab zur Stellungnahme und Ergänzung zuzustellen. Im Anschluss an die Rückfrage wäre der versicherten Person die Stellungnahme der Gutachter zur Wahrung des rechtlichen Gehörs wiederum zu unterbreiten, bevor eine Verfügung erlassen werden könnte. Nötigenfalls wäre entsprechend das Vorbescheidsverfahren zu wiederholen. 3.2  Eine Alternative der Verwaltung wäre, dem Gericht einen Antrag auf teilweise Gutheissung der Beschwerde und auf Rückweisung der Sache an sie zur Durchführung weiterer Abklärungen zu stellen. Erachtet sie nur eine geringfügige Klärung als notwendig, so ist ihr nach der Rechtsprechung eine eigene Ergänzung gestattet (vgl. etwa BGE 127 V 228 Erw. 2b/bb; C_34/02 vom 22. Oktober 2002, Erw. 1.1.3). Bei grösseren Defiziten hat sie dem Gericht einen entsprechenden Beweisantrag zu stellen. Eigenmächtig einigermassen umfassende weitere Abklärungen vorzunehmen, ist nicht statthaft. Mit Erlass der Verfügung wurde das in ihrer Hoheit liegende Verfahren (bzw. der entsprechende Verfahrensabschnitt) abgeschlossen. Durch die Beschwerdeerhebung geht die Sache samt der Hoheit über Beweisverfahren und Beweiserhebung auf das Gericht über (Devolutiveffekt). In diesem Verfahren hat die Verwaltung lediglich noch Parteistellung. Entsprechend erscheint es tatsächlich als unzulässig, wenn sie in diesem Verfahrensstadium eigenmächtig umfassende weitere Ausführungen und Stellungnahmen von Gutachtern verlangt. Damit greift sie dem Gericht vor und erschwert oder verunmöglicht allenfalls von diesem ansonsten angestrebte Beweiserhebungen. Vorliegend wären nach der direkt ans ABI weitergegebenen Kritik in Form der Weiterleitung der Beschwerdeschrift und der im Ton eher geharnischt anmutenden Reaktion des ABI allfällige durch das Gericht durchzuführende Beweiserhebungen beim ABI kaum mehr realisierbar, da eine reale Gefahr einer Vorbefassung besteht.</w:t>
      </w:r>
    </w:p>
    <w:p>
      <w:r>
        <w:rPr>
          <w:b/>
        </w:rPr>
        <w:t>E. 4</w:t>
      </w:r>
    </w:p>
    <w:p>
      <w:r>
        <w:t>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